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15" w:rsidRPr="00BE4C15" w:rsidRDefault="00BE4C15" w:rsidP="00BE4C15">
      <w:pPr>
        <w:widowControl/>
        <w:spacing w:after="100" w:afterAutospacing="1"/>
        <w:jc w:val="left"/>
        <w:outlineLvl w:val="1"/>
        <w:rPr>
          <w:rFonts w:ascii="微软雅黑" w:eastAsia="微软雅黑" w:hAnsi="微软雅黑" w:cs="Arial"/>
          <w:color w:val="212529"/>
          <w:kern w:val="0"/>
          <w:sz w:val="54"/>
          <w:szCs w:val="54"/>
          <w:lang w:val="en"/>
        </w:rPr>
      </w:pPr>
      <w:bookmarkStart w:id="0" w:name="_GoBack"/>
      <w:r w:rsidRPr="00BE4C15">
        <w:rPr>
          <w:rFonts w:ascii="微软雅黑" w:eastAsia="微软雅黑" w:hAnsi="微软雅黑" w:cs="Arial" w:hint="eastAsia"/>
          <w:color w:val="212529"/>
          <w:kern w:val="0"/>
          <w:sz w:val="54"/>
          <w:szCs w:val="54"/>
          <w:lang w:val="en"/>
        </w:rPr>
        <w:t>教育部高等教育司关于开展2022年国家级大学生创新创业训练计划立项和结题验收工作的通知</w:t>
      </w:r>
      <w:bookmarkEnd w:id="0"/>
      <w:r w:rsidRPr="00BE4C15">
        <w:rPr>
          <w:rFonts w:ascii="微软雅黑" w:eastAsia="微软雅黑" w:hAnsi="微软雅黑" w:cs="Arial" w:hint="eastAsia"/>
          <w:color w:val="212529"/>
          <w:kern w:val="0"/>
          <w:sz w:val="54"/>
          <w:szCs w:val="54"/>
          <w:lang w:val="en"/>
        </w:rPr>
        <w:t xml:space="preserve"> </w:t>
      </w:r>
    </w:p>
    <w:p w:rsidR="00BE4C15" w:rsidRPr="00BE4C15" w:rsidRDefault="00BE4C15" w:rsidP="00BE4C15">
      <w:pPr>
        <w:widowControl/>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Cs w:val="21"/>
          <w:lang w:val="en"/>
        </w:rPr>
        <w:t xml:space="preserve">发布日期： 2022-03-24 </w:t>
      </w:r>
    </w:p>
    <w:p w:rsidR="00BE4C15" w:rsidRPr="00BE4C15" w:rsidRDefault="00BE4C15" w:rsidP="00BE4C15">
      <w:pPr>
        <w:widowControl/>
        <w:spacing w:after="15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各省、自治区、直辖市教育厅（教委），新疆生产建设兵团教育局，有关部门（单位）教育司（局），部属各高等学校，部省合建各高等学校：</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为深入贯彻落实《“十四五”教育发展规划》《国务院办公厅关于进一步支持大学生创新创业的指导意见》《国务院办公厅关于深化高等学校创新创业教育改革的实施意见》等文件要求，进一步深化新发展阶段高校创新创业教育改革，根据《国家级大学生创新创业训练计划管理办法》，</w:t>
      </w:r>
      <w:proofErr w:type="gramStart"/>
      <w:r w:rsidRPr="00BE4C15">
        <w:rPr>
          <w:rFonts w:ascii="微软雅黑" w:eastAsia="微软雅黑" w:hAnsi="微软雅黑" w:cs="Arial" w:hint="eastAsia"/>
          <w:color w:val="212529"/>
          <w:kern w:val="0"/>
          <w:sz w:val="27"/>
          <w:szCs w:val="27"/>
          <w:lang w:val="en"/>
        </w:rPr>
        <w:t>现启动</w:t>
      </w:r>
      <w:proofErr w:type="gramEnd"/>
      <w:r w:rsidRPr="00BE4C15">
        <w:rPr>
          <w:rFonts w:ascii="微软雅黑" w:eastAsia="微软雅黑" w:hAnsi="微软雅黑" w:cs="Arial" w:hint="eastAsia"/>
          <w:color w:val="212529"/>
          <w:kern w:val="0"/>
          <w:sz w:val="27"/>
          <w:szCs w:val="27"/>
          <w:lang w:val="en"/>
        </w:rPr>
        <w:t>2022年国家级大学生创新创业训练计划（以下简称“国创计划”）立项和结题验收工作。现将有关事项通知如下。</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一、立项事宜</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3"/>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b/>
          <w:bCs/>
          <w:color w:val="212529"/>
          <w:kern w:val="0"/>
          <w:sz w:val="27"/>
          <w:szCs w:val="27"/>
          <w:lang w:val="en"/>
        </w:rPr>
        <w:t>（一）重点支持领域。</w:t>
      </w:r>
      <w:r w:rsidRPr="00BE4C15">
        <w:rPr>
          <w:rFonts w:ascii="微软雅黑" w:eastAsia="微软雅黑" w:hAnsi="微软雅黑" w:cs="Arial" w:hint="eastAsia"/>
          <w:color w:val="212529"/>
          <w:kern w:val="0"/>
          <w:sz w:val="27"/>
          <w:szCs w:val="27"/>
          <w:lang w:val="en"/>
        </w:rPr>
        <w:t>为引导大学生面向国家经济社会发展和重大战略需求，结合创新创业教育发展趋势，在重点领域和关键环节取得突出创新创业成果，继续设立国家级大学生创新创业训练计划重点支持领域项目（以下简称重点支持项目）。</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重点支持项目本着“有限领域、有限规模、有限目标”的原则，支持具有一定创新性的基础理论研究项目和有针对性的应用研究项目</w:t>
      </w:r>
      <w:r w:rsidRPr="00BE4C15">
        <w:rPr>
          <w:rFonts w:ascii="微软雅黑" w:eastAsia="微软雅黑" w:hAnsi="微软雅黑" w:cs="Arial" w:hint="eastAsia"/>
          <w:color w:val="212529"/>
          <w:kern w:val="0"/>
          <w:sz w:val="27"/>
          <w:szCs w:val="27"/>
          <w:lang w:val="en"/>
        </w:rPr>
        <w:lastRenderedPageBreak/>
        <w:t>持续深化研究和实践，鼓励开展新兴边缘学科研究和跨学科的交叉综合研究（见附件1）。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重点支持项目由地方教育行政部门负责择优推荐，推荐数额不超过上一年度“国创计划”立项项目总数的2%。项目支持经费原则上不低于同类型其他“国创计划”项目支持经费的2倍。</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3"/>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b/>
          <w:bCs/>
          <w:color w:val="212529"/>
          <w:kern w:val="0"/>
          <w:sz w:val="27"/>
          <w:szCs w:val="27"/>
          <w:lang w:val="en"/>
        </w:rPr>
        <w:t>（二）其他项目申报。</w:t>
      </w:r>
      <w:r w:rsidRPr="00BE4C15">
        <w:rPr>
          <w:rFonts w:ascii="微软雅黑" w:eastAsia="微软雅黑" w:hAnsi="微软雅黑" w:cs="Arial" w:hint="eastAsia"/>
          <w:color w:val="212529"/>
          <w:kern w:val="0"/>
          <w:sz w:val="27"/>
          <w:szCs w:val="27"/>
          <w:lang w:val="en"/>
        </w:rPr>
        <w:t>重点支持领域外的项目类型、类别、立项以及各类项目经费等相关要求参照《教育部高等教育司关于报送2021年国家级大学生创新创业训练计划立项项目的通知》要求执行，鼓励“国创计划”项目团队积极参与“青年红色筑梦之旅”和产学合作创新创业联合基金项目申报。</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二、结题验收事宜</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3"/>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b/>
          <w:bCs/>
          <w:color w:val="212529"/>
          <w:kern w:val="0"/>
          <w:sz w:val="27"/>
          <w:szCs w:val="27"/>
          <w:lang w:val="en"/>
        </w:rPr>
        <w:t>（一）结题范围。</w:t>
      </w:r>
      <w:r w:rsidRPr="00BE4C15">
        <w:rPr>
          <w:rFonts w:ascii="微软雅黑" w:eastAsia="微软雅黑" w:hAnsi="微软雅黑" w:cs="Arial" w:hint="eastAsia"/>
          <w:color w:val="212529"/>
          <w:kern w:val="0"/>
          <w:sz w:val="27"/>
          <w:szCs w:val="27"/>
          <w:lang w:val="en"/>
        </w:rPr>
        <w:t>2022年结题的“国创计划”项目。</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3"/>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b/>
          <w:bCs/>
          <w:color w:val="212529"/>
          <w:kern w:val="0"/>
          <w:sz w:val="27"/>
          <w:szCs w:val="27"/>
          <w:lang w:val="en"/>
        </w:rPr>
        <w:t>（二）结题验收要求。</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1.加强组织领导。项目所在学校需组织评审专家对项目成果的理论意义、学术价值和应用价值等进行评价，坚持分类评价、绩效评价和过程评价相结合，确保客观真实、全面系统、科学规范。</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lastRenderedPageBreak/>
        <w:t>2.强化成果总结。省（区、市）教育厅（教委）和项目依托高校需对项目结题所产生的论文、专利、获奖、著作权、研究报告、商业计划书、开发的软件或设备、创业实体等相关成果做好梳理总结，并以一定方式进行展示、交流和推广。</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3.优化项目管理。项目所在高校对未通过验收和中止研究的项目，需做好情况分析，坚持问题导向和目标导向，持续优化</w:t>
      </w:r>
      <w:proofErr w:type="gramStart"/>
      <w:r w:rsidRPr="00BE4C15">
        <w:rPr>
          <w:rFonts w:ascii="微软雅黑" w:eastAsia="微软雅黑" w:hAnsi="微软雅黑" w:cs="Arial" w:hint="eastAsia"/>
          <w:color w:val="212529"/>
          <w:kern w:val="0"/>
          <w:sz w:val="27"/>
          <w:szCs w:val="27"/>
          <w:lang w:val="en"/>
        </w:rPr>
        <w:t>完善国创项目</w:t>
      </w:r>
      <w:proofErr w:type="gramEnd"/>
      <w:r w:rsidRPr="00BE4C15">
        <w:rPr>
          <w:rFonts w:ascii="微软雅黑" w:eastAsia="微软雅黑" w:hAnsi="微软雅黑" w:cs="Arial" w:hint="eastAsia"/>
          <w:color w:val="212529"/>
          <w:kern w:val="0"/>
          <w:sz w:val="27"/>
          <w:szCs w:val="27"/>
          <w:lang w:val="en"/>
        </w:rPr>
        <w:t>的管理体系和保障支持。</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三、材料报送</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按照建立国家、地方、高校三级大学生创新创业训练计划实施体系的要求，由各省（区、市）教育厅（教委）统一报送本地的“国创计划”立项和结题验收项目信息（含中央部委所属高校和地方所属高校）。</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各省（区、市）教育厅（教委）可组织高校登录网络平台完成项目立项和结题验收（网址：http://gjcxcy.bjtu.edu.cn/，操作指南可在网页的通知公告栏查看下载），以省（区、市）为单位提交2022年国家级与省级大学生创新创业训练计划立项项目汇总表（见附件2）和项目结题验收信息。</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各省（区、市）教育厅（教委）完成立项和结题验收后，分别正式行文报送我司（在系统内上传扫描件，无需邮寄纸质版），同时提交2022年大学生创新创业训练计划立项情况数据统计表（见附件3）和结题验收情况数据统计表（见附件4）。</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立项和结题验收项目报送截止时间：2022年6月30日。</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lastRenderedPageBreak/>
        <w:t>四、联系方式</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“国创计划”秘书处联系人：张老师，022-85356053。</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技术支持：宗老师，025-83215097，18013908687；陈老师，18018035381。</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邮箱：tjujwc@tju.edu.cn</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附件：</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1.2022年“国创计划”重点支持领域项目申报指南</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2.2022年国家级与省级大学生创新创业训练计划立项项目汇总表</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3.2022年大学生创新创业训练计划立项情况数据统计表</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4.</w:t>
      </w:r>
      <w:r w:rsidRPr="00BE4C15">
        <w:rPr>
          <w:rFonts w:ascii="微软雅黑" w:eastAsia="微软雅黑" w:hAnsi="微软雅黑" w:cs="Arial" w:hint="eastAsia"/>
          <w:color w:val="212529"/>
          <w:kern w:val="0"/>
          <w:szCs w:val="21"/>
          <w:lang w:val="en"/>
        </w:rPr>
        <w:t xml:space="preserve"> </w:t>
      </w:r>
      <w:r w:rsidRPr="00BE4C15">
        <w:rPr>
          <w:rFonts w:ascii="微软雅黑" w:eastAsia="微软雅黑" w:hAnsi="微软雅黑" w:cs="Arial" w:hint="eastAsia"/>
          <w:color w:val="212529"/>
          <w:kern w:val="0"/>
          <w:sz w:val="27"/>
          <w:szCs w:val="27"/>
          <w:lang w:val="en"/>
        </w:rPr>
        <w:t>2022年国家级大学生创新创业训练计划结题验收情况数据统计表</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p>
    <w:p w:rsidR="00BE4C15" w:rsidRPr="00BE4C15" w:rsidRDefault="00BE4C15" w:rsidP="00BE4C15">
      <w:pPr>
        <w:widowControl/>
        <w:spacing w:after="150"/>
        <w:ind w:firstLine="640"/>
        <w:jc w:val="left"/>
        <w:rPr>
          <w:rFonts w:ascii="微软雅黑" w:eastAsia="微软雅黑" w:hAnsi="微软雅黑" w:cs="Arial" w:hint="eastAsia"/>
          <w:color w:val="212529"/>
          <w:kern w:val="0"/>
          <w:szCs w:val="21"/>
          <w:lang w:val="en"/>
        </w:rPr>
      </w:pPr>
    </w:p>
    <w:p w:rsidR="00BE4C15" w:rsidRPr="00BE4C15" w:rsidRDefault="00BE4C15" w:rsidP="00BE4C15">
      <w:pPr>
        <w:widowControl/>
        <w:spacing w:after="150"/>
        <w:jc w:val="righ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教育部高等教育司</w:t>
      </w:r>
      <w:r w:rsidRPr="00BE4C15">
        <w:rPr>
          <w:rFonts w:ascii="微软雅黑" w:eastAsia="微软雅黑" w:hAnsi="微软雅黑" w:cs="Arial" w:hint="eastAsia"/>
          <w:color w:val="212529"/>
          <w:kern w:val="0"/>
          <w:szCs w:val="21"/>
          <w:lang w:val="en"/>
        </w:rPr>
        <w:t xml:space="preserve"> </w:t>
      </w:r>
    </w:p>
    <w:p w:rsidR="00BE4C15" w:rsidRPr="00BE4C15" w:rsidRDefault="00BE4C15" w:rsidP="00BE4C15">
      <w:pPr>
        <w:widowControl/>
        <w:spacing w:after="150"/>
        <w:jc w:val="right"/>
        <w:rPr>
          <w:rFonts w:ascii="微软雅黑" w:eastAsia="微软雅黑" w:hAnsi="微软雅黑" w:cs="Arial" w:hint="eastAsia"/>
          <w:color w:val="212529"/>
          <w:kern w:val="0"/>
          <w:szCs w:val="21"/>
          <w:lang w:val="en"/>
        </w:rPr>
      </w:pPr>
      <w:r w:rsidRPr="00BE4C15">
        <w:rPr>
          <w:rFonts w:ascii="微软雅黑" w:eastAsia="微软雅黑" w:hAnsi="微软雅黑" w:cs="Arial" w:hint="eastAsia"/>
          <w:color w:val="212529"/>
          <w:kern w:val="0"/>
          <w:sz w:val="27"/>
          <w:szCs w:val="27"/>
          <w:lang w:val="en"/>
        </w:rPr>
        <w:t>2022年3月24日</w:t>
      </w:r>
    </w:p>
    <w:p w:rsidR="00F4502F" w:rsidRDefault="00F4502F"/>
    <w:sectPr w:rsidR="00F450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E5"/>
    <w:rsid w:val="00BE4C15"/>
    <w:rsid w:val="00F4502F"/>
    <w:rsid w:val="00F46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3551">
      <w:bodyDiv w:val="1"/>
      <w:marLeft w:val="0"/>
      <w:marRight w:val="0"/>
      <w:marTop w:val="0"/>
      <w:marBottom w:val="0"/>
      <w:divBdr>
        <w:top w:val="none" w:sz="0" w:space="0" w:color="auto"/>
        <w:left w:val="none" w:sz="0" w:space="0" w:color="auto"/>
        <w:bottom w:val="none" w:sz="0" w:space="0" w:color="auto"/>
        <w:right w:val="none" w:sz="0" w:space="0" w:color="auto"/>
      </w:divBdr>
      <w:divsChild>
        <w:div w:id="1027682116">
          <w:marLeft w:val="0"/>
          <w:marRight w:val="0"/>
          <w:marTop w:val="0"/>
          <w:marBottom w:val="0"/>
          <w:divBdr>
            <w:top w:val="none" w:sz="0" w:space="0" w:color="auto"/>
            <w:left w:val="none" w:sz="0" w:space="0" w:color="auto"/>
            <w:bottom w:val="none" w:sz="0" w:space="0" w:color="auto"/>
            <w:right w:val="none" w:sz="0" w:space="0" w:color="auto"/>
          </w:divBdr>
          <w:divsChild>
            <w:div w:id="774054205">
              <w:marLeft w:val="0"/>
              <w:marRight w:val="0"/>
              <w:marTop w:val="0"/>
              <w:marBottom w:val="0"/>
              <w:divBdr>
                <w:top w:val="none" w:sz="0" w:space="0" w:color="auto"/>
                <w:left w:val="none" w:sz="0" w:space="0" w:color="auto"/>
                <w:bottom w:val="none" w:sz="0" w:space="0" w:color="auto"/>
                <w:right w:val="none" w:sz="0" w:space="0" w:color="auto"/>
              </w:divBdr>
              <w:divsChild>
                <w:div w:id="638924772">
                  <w:marLeft w:val="0"/>
                  <w:marRight w:val="0"/>
                  <w:marTop w:val="0"/>
                  <w:marBottom w:val="0"/>
                  <w:divBdr>
                    <w:top w:val="none" w:sz="0" w:space="0" w:color="auto"/>
                    <w:left w:val="none" w:sz="0" w:space="0" w:color="auto"/>
                    <w:bottom w:val="none" w:sz="0" w:space="0" w:color="auto"/>
                    <w:right w:val="none" w:sz="0" w:space="0" w:color="auto"/>
                  </w:divBdr>
                  <w:divsChild>
                    <w:div w:id="1351184019">
                      <w:marLeft w:val="0"/>
                      <w:marRight w:val="0"/>
                      <w:marTop w:val="0"/>
                      <w:marBottom w:val="0"/>
                      <w:divBdr>
                        <w:top w:val="none" w:sz="0" w:space="0" w:color="auto"/>
                        <w:left w:val="none" w:sz="0" w:space="0" w:color="auto"/>
                        <w:bottom w:val="none" w:sz="0" w:space="0" w:color="auto"/>
                        <w:right w:val="none" w:sz="0" w:space="0" w:color="auto"/>
                      </w:divBdr>
                      <w:divsChild>
                        <w:div w:id="1758676448">
                          <w:marLeft w:val="0"/>
                          <w:marRight w:val="0"/>
                          <w:marTop w:val="0"/>
                          <w:marBottom w:val="0"/>
                          <w:divBdr>
                            <w:top w:val="none" w:sz="0" w:space="0" w:color="auto"/>
                            <w:left w:val="none" w:sz="0" w:space="0" w:color="auto"/>
                            <w:bottom w:val="none" w:sz="0" w:space="0" w:color="auto"/>
                            <w:right w:val="none" w:sz="0" w:space="0" w:color="auto"/>
                          </w:divBdr>
                          <w:divsChild>
                            <w:div w:id="1960793008">
                              <w:marLeft w:val="0"/>
                              <w:marRight w:val="0"/>
                              <w:marTop w:val="0"/>
                              <w:marBottom w:val="0"/>
                              <w:divBdr>
                                <w:top w:val="none" w:sz="0" w:space="0" w:color="auto"/>
                                <w:left w:val="none" w:sz="0" w:space="0" w:color="auto"/>
                                <w:bottom w:val="none" w:sz="0" w:space="0" w:color="auto"/>
                                <w:right w:val="none" w:sz="0" w:space="0" w:color="auto"/>
                              </w:divBdr>
                            </w:div>
                            <w:div w:id="4219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1562</Characters>
  <Application>Microsoft Office Word</Application>
  <DocSecurity>0</DocSecurity>
  <Lines>13</Lines>
  <Paragraphs>3</Paragraphs>
  <ScaleCrop>false</ScaleCrop>
  <Company>Microsoft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创新创业学院办公室</dc:creator>
  <cp:keywords/>
  <dc:description/>
  <cp:lastModifiedBy>创新创业学院办公室</cp:lastModifiedBy>
  <cp:revision>2</cp:revision>
  <dcterms:created xsi:type="dcterms:W3CDTF">2022-03-30T02:28:00Z</dcterms:created>
  <dcterms:modified xsi:type="dcterms:W3CDTF">2022-03-30T02:28:00Z</dcterms:modified>
</cp:coreProperties>
</file>